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50" w:rsidRPr="00C14F63" w:rsidRDefault="00C23850" w:rsidP="00C14F63">
      <w:pPr>
        <w:ind w:firstLine="284"/>
        <w:rPr>
          <w:rFonts w:ascii="Times New Roman" w:hAnsi="Times New Roman" w:cs="Times New Roman"/>
        </w:rPr>
      </w:pP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ГОСУДАРСТВЕННОГО САНИТАРНОГО ВРАЧА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САНПИН 2.4.2.3286-15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"САНИТАРНО-ЭПИДЕМИОЛОГИЧЕСКИЕ ТРЕБОВАНИЯ К УСЛОВИЯМ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ОРГАНИЗАЦИИ ОБУЧЕНИЯ И ВОСПИТАНИЯ В ОРГАНИЗАЦИЯХ,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ОБРАЗОВАТЕЛЬНУЮ ДЕЯТЕЛЬНОСТЬ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АДАПТИРОВАННЫМ ОСНОВНЫМ ОБЩЕОБРАЗОВАТЕЛЬНЫМ ПРОГРАММАМ</w:t>
      </w:r>
    </w:p>
    <w:p w:rsidR="00C14F63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ЗДОРОВЬЯ"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июля 2015 г. №</w:t>
      </w:r>
      <w:bookmarkStart w:id="0" w:name="_GoBack"/>
      <w:bookmarkEnd w:id="0"/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</w:t>
      </w:r>
      <w:r w:rsidRPr="00C14F63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C14F63">
        <w:rPr>
          <w:rFonts w:ascii="Times New Roman" w:eastAsia="Times New Roman" w:hAnsi="Times New Roman" w:cs="Times New Roman"/>
          <w:lang w:eastAsia="ru-RU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C14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C14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C14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 xml:space="preserve">N 30 (ч. I), ст. 4079; N 48, ст. 6165; 2014, N 26 (ч. I), ст. 3366, ст. 3377; 2015, N 1 (часть I), ст. 11) и </w:t>
      </w:r>
      <w:r w:rsidRPr="00C14F63">
        <w:rPr>
          <w:rFonts w:ascii="Times New Roman" w:eastAsia="Times New Roman" w:hAnsi="Times New Roman" w:cs="Times New Roman"/>
          <w:u w:val="single"/>
          <w:lang w:eastAsia="ru-RU"/>
        </w:rPr>
        <w:t>постановлением</w:t>
      </w:r>
      <w:r w:rsidRPr="00C14F63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C14F6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>2004, N 8, ст. 663; 2004, N 47, ст. 4666; 2005, N 39, ст. 3953) постановляю: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C14F63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 xml:space="preserve">Утвердить санитарно-эпидемиологические правила и нормативы </w:t>
      </w:r>
      <w:r w:rsidRPr="00C14F63">
        <w:rPr>
          <w:rFonts w:ascii="Times New Roman" w:eastAsia="Times New Roman" w:hAnsi="Times New Roman" w:cs="Times New Roman"/>
          <w:u w:val="single"/>
          <w:lang w:eastAsia="ru-RU"/>
        </w:rPr>
        <w:t>СанПиН 2.4.2.3286-15</w:t>
      </w:r>
      <w:r w:rsidRPr="00C14F63">
        <w:rPr>
          <w:rFonts w:ascii="Times New Roman" w:eastAsia="Times New Roman" w:hAnsi="Times New Roman" w:cs="Times New Roman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C14F63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C14F63">
        <w:rPr>
          <w:rFonts w:ascii="Times New Roman" w:eastAsia="Times New Roman" w:hAnsi="Times New Roman" w:cs="Times New Roman"/>
          <w:lang w:eastAsia="ru-RU"/>
        </w:rPr>
        <w:t xml:space="preserve">Ввести в действие санитарно-эпидемиологические правила и нормативы </w:t>
      </w:r>
      <w:r w:rsidRPr="00C14F63">
        <w:rPr>
          <w:rFonts w:ascii="Times New Roman" w:eastAsia="Times New Roman" w:hAnsi="Times New Roman" w:cs="Times New Roman"/>
          <w:u w:val="single"/>
          <w:lang w:eastAsia="ru-RU"/>
        </w:rPr>
        <w:t>СанПиН 2.4.2.3286-15</w:t>
      </w:r>
      <w:r w:rsidRPr="00C14F63">
        <w:rPr>
          <w:rFonts w:ascii="Times New Roman" w:eastAsia="Times New Roman" w:hAnsi="Times New Roman" w:cs="Times New Roman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lang w:eastAsia="ru-RU"/>
        </w:rPr>
      </w:pPr>
      <w:r w:rsidRPr="00C14F63">
        <w:rPr>
          <w:rFonts w:ascii="Times New Roman" w:eastAsia="Times New Roman" w:hAnsi="Times New Roman" w:cs="Times New Roman"/>
          <w:lang w:eastAsia="ru-RU"/>
        </w:rPr>
        <w:br/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C14F63">
        <w:rPr>
          <w:rFonts w:ascii="Times New Roman" w:eastAsia="Times New Roman" w:hAnsi="Times New Roman" w:cs="Times New Roman"/>
          <w:lang w:eastAsia="ru-RU"/>
        </w:rPr>
        <w:t>А.Ю.ПОПОВА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Главного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 санитарного врача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10.07.2015 N 26</w:t>
      </w: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23850" w:rsidRPr="00C14F63" w:rsidRDefault="00C23850" w:rsidP="00C14F6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6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САНИТАРНО-ЭПИДЕМИОЛОГИЧЕСКИЕ ТРЕБОВАНИЯ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УСЛОВИЯМ И ОРГАНИЗАЦИИ ОБУЧЕНИЯ И ВОСПИТАНИЯ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ОРГАНИЗАЦИЯХ, ОСУЩЕСТВЛЯЮЩИХ ОБРАЗОВАТЕЛЬНУЮ ДЕЯТЕЛЬНОСТЬ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АДАПТИРОВАННЫМ ОСНОВНЫМ ОБЩЕОБРАЗОВАТЕЛЬНЫМ ПРОГРАММАМ</w:t>
      </w:r>
      <w:r w:rsidR="00C14F63"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</w:t>
      </w:r>
      <w:proofErr w:type="gramEnd"/>
    </w:p>
    <w:p w:rsidR="00C23850" w:rsidRPr="00C14F63" w:rsidRDefault="00C23850" w:rsidP="00C14F63">
      <w:pPr>
        <w:ind w:firstLine="284"/>
        <w:rPr>
          <w:rFonts w:ascii="Times New Roman" w:hAnsi="Times New Roman" w:cs="Times New Roman"/>
        </w:rPr>
      </w:pPr>
    </w:p>
    <w:p w:rsidR="00C23850" w:rsidRPr="00C14F63" w:rsidRDefault="00C23850" w:rsidP="00C14F63">
      <w:pPr>
        <w:ind w:firstLine="284"/>
        <w:rPr>
          <w:rFonts w:ascii="Times New Roman" w:hAnsi="Times New Roman" w:cs="Times New Roman"/>
        </w:rPr>
      </w:pP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постирочных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отделки потолков используются водоотталкивающие (влагостойкие) краски.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утепленными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и (или) отапливаемыми, с регулируемым температурным режимом.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росто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-возрастным особенностям обучающихся с ОВЗ.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4.30.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V. Требования к воздушно-тепловому режиму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5.1.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Очистка 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контроль за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позднее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чем за два часа до прихода обучающихся.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ГН 2.1.6.1338-03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постановлением от 03.11.2005 N 24 (зарегистрировано Минюстом России 02.12.2005,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VI. Требования к естественному, искусственному освещению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и инсоляции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СанПиН 2.2.1/2.1.1.1278-03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6.3.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светопропускающими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Перегоревшие лампы подлежат своевременной замене.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VII. Требования к водоснабжению и канализации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7.1.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постирочную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постирочная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Полы в помещениях пищеблока, душевых и прачечной (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постирочной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) оборудуются сливными трапами.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Не допускается устройство и использование надворных туалетов.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VIII. Требования к организации образовательной деятельности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и режиму дня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Приложением N 1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>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8.2. Учебные занятия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8.4.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br/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Таблица 1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Гигиенические требования к максимальному общему объему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недельной нагрузки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0"/>
        <w:gridCol w:w="3300"/>
      </w:tblGrid>
      <w:tr w:rsidR="00C14F63" w:rsidRPr="00C14F63" w:rsidTr="00C23850">
        <w:tc>
          <w:tcPr>
            <w:tcW w:w="2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Классы</w:t>
            </w:r>
          </w:p>
        </w:tc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C14F63" w:rsidRPr="00C14F63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Внеурочная деятельность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&lt;***&gt;</w:t>
            </w:r>
          </w:p>
        </w:tc>
      </w:tr>
      <w:tr w:rsidR="00C14F63" w:rsidRPr="00C14F63" w:rsidTr="00C23850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Начальное общее образование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 (1 дополнительный)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21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2 - 4 (5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&lt;*&gt;</w:t>
            </w: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, 6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&lt;**&gt;</w:t>
            </w: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Основное общее образование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29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30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32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8 - 9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33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Среднее общее образование</w:t>
            </w:r>
          </w:p>
        </w:tc>
      </w:tr>
      <w:tr w:rsidR="00C14F63" w:rsidRPr="00C14F63" w:rsidTr="00C23850"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10 - 11 (12)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34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 10</w:t>
            </w:r>
          </w:p>
        </w:tc>
      </w:tr>
      <w:tr w:rsidR="00C14F63" w:rsidRPr="00C14F63" w:rsidTr="00C23850"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Примечание:</w:t>
            </w:r>
          </w:p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&lt;**&gt; 6 класс - для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глухих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обучающихся и обучающихся с расстройствами аутистического спектра.</w:t>
            </w:r>
          </w:p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 должны иметь облегченный учебный день в среду или четверг.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- организуются дополнительные недельные каникулы в середине третьей четверти при традиционном режиме обучения.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для обучающихся 2 - 4 классов - не более 5 уроков;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для обучающихся 5 - 6 классов - не более 6 уроков;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для обучающихся 7 - 11 классов - не более 7 уроков.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8.8.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профориентационная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работа.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(Приложение N 2)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>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IX. Требования к организации питания и питьевого режима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9.1.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бракеражные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СанПиН 2.4.5.2409-08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12085).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 в организации (дневное или круглосуточное пребывание).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Питьевой режим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 должен быть организован круглосуточно.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9.4. Площадь обеденного зала столовой на 1 посадочное место должна составлять не менее 1,6 м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2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для обучающихся с нарушениями опорно-двигательного аппарата - не менее 2,3 м2.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X. Санитарно-эпидемиологические требования при организации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медицинского обслуживания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10.3.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При установлении в организации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 ОВЗ карантина проводится профилактическая дезинфекция.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СанПиН 3.2.3215-14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34659).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XI. Требования к санитарному состоянию и содержанию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помещений организации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11.2. В умывальных, душевых,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постирочных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квачей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щеток.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Уборочный инвентарь (щетки, ветошь,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квачи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наматрасниками</w:t>
      </w:r>
      <w:proofErr w:type="spell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Чистое белье доставляется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упакованным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и хранится в шкафах.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Допускается использование бытовых стиральных машин.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Образующиеся медицинские отходы, относящиеся к классу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Б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СанПиН 2.1.7.2790-10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 xml:space="preserve">Российской Федерации от 09.12.2010 N 163, зарегистрированным Минюстом России 17.02.2011,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19871).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После каждого занятия спортивный зал проветривается не менее 10 минут.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СП 3.5.1378-03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4757).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&lt;2&gt;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СанПиН 3.5.2.1376-03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4756).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&lt;3&gt;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СП 3.5.3.3223-14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36212).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XII. Требования к прохождению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профилактических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медицинских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осмотров, гигиенического воспитания и обучения,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личной</w:t>
      </w:r>
      <w:proofErr w:type="gramEnd"/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гигиене работников организации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  <w:proofErr w:type="gramEnd"/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Приказ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N 22111) с изменениями, внесенными приказом Минздрава России от 15.05.2013 N 296н (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зарегистрирован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Минюстом России 03.07.2013, регистрационный N 28970.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&lt;1&gt; </w:t>
      </w:r>
      <w:r w:rsidRPr="00C14F63">
        <w:rPr>
          <w:rFonts w:ascii="Times New Roman" w:eastAsia="Times New Roman" w:hAnsi="Times New Roman" w:cs="Times New Roman"/>
          <w:szCs w:val="21"/>
          <w:u w:val="single"/>
          <w:lang w:eastAsia="ru-RU"/>
        </w:rPr>
        <w:t>Приказ</w:t>
      </w: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F2F16" w:rsidRPr="00C14F63" w:rsidRDefault="00DF2F16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XIII. Требования к соблюдению санитарных правил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выполнение требований санитарных правил всеми работниками;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необходимые условия для соблюдения санитарных правил;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контроль за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соблюдением требований санитарных правил.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среди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14F63" w:rsidRDefault="00C14F63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14F63" w:rsidRPr="00C14F63" w:rsidRDefault="00C14F63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Приложение N 1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к СанПиН 2.4.2.3286-15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КОМПЛЕКТОВАНИЕ КЛАССОВ (ГРУПП)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4"/>
        <w:gridCol w:w="2527"/>
        <w:gridCol w:w="1592"/>
        <w:gridCol w:w="1547"/>
        <w:gridCol w:w="1566"/>
      </w:tblGrid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</w:r>
          </w:p>
        </w:tc>
        <w:tc>
          <w:tcPr>
            <w:tcW w:w="7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Варианты программ образования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&lt;*&gt;</w:t>
            </w:r>
          </w:p>
        </w:tc>
      </w:tr>
      <w:tr w:rsidR="00C14F63" w:rsidRPr="00C14F63" w:rsidTr="00C23850"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N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Вид ОВЗ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 вариант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 вариант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 вариант</w:t>
            </w:r>
          </w:p>
        </w:tc>
      </w:tr>
      <w:tr w:rsidR="00C14F63" w:rsidRPr="00C14F63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слабослышащем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I отделение: 8</w:t>
            </w:r>
          </w:p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II отделение: 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3.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слабовидящем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обучающихся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Обучающиеся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обучающемся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Вариант не предусмотрен</w:t>
            </w:r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Обучающиеся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Общая наполняемость класса: при 1 </w:t>
            </w: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обучающемся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C14F63" w:rsidRPr="00C14F63" w:rsidTr="00C23850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Обучающиеся</w:t>
            </w:r>
            <w:proofErr w:type="gramEnd"/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</w:t>
            </w:r>
          </w:p>
        </w:tc>
      </w:tr>
    </w:tbl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--------------------------------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Примечание: &lt;*&gt; варианты программ: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- 2-й вариант предполагает, что обучающийся получает образование в пролонгированные сроки обучения;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C14F63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Приложение N 2</w:t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к СанПиН 2.4.2.3286-15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РЕКОМЕНДАЦИИ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К ОРГАНИЗАЦИИ РЕЖИМА ДНЯ ПРИ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ДНЕВНОМ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И КРУГЛОСУТОЧНОМ</w:t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ПРЕБЫВАНИИ ОБУЧАЮЩИХСЯ В ОРГАНИЗАЦИЯХ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С ОВЗ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1. Успешность обучения, реабилитации и социальной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адаптации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>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Дозирование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Режим дня для </w:t>
      </w:r>
      <w:proofErr w:type="gramStart"/>
      <w:r w:rsidRPr="00C14F63">
        <w:rPr>
          <w:rFonts w:ascii="Times New Roman" w:eastAsia="Times New Roman" w:hAnsi="Times New Roman" w:cs="Times New Roman"/>
          <w:szCs w:val="21"/>
          <w:lang w:eastAsia="ru-RU"/>
        </w:rPr>
        <w:t>обучающихся</w:t>
      </w:r>
      <w:proofErr w:type="gramEnd"/>
      <w:r w:rsidRPr="00C14F63">
        <w:rPr>
          <w:rFonts w:ascii="Times New Roman" w:eastAsia="Times New Roman" w:hAnsi="Times New Roman" w:cs="Times New Roman"/>
          <w:szCs w:val="21"/>
          <w:lang w:eastAsia="ru-RU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DF2F16" w:rsidRPr="00C14F63" w:rsidRDefault="00DF2F16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 w:type="page"/>
      </w:r>
    </w:p>
    <w:p w:rsidR="00C23850" w:rsidRPr="00C14F63" w:rsidRDefault="00C23850" w:rsidP="00C14F63">
      <w:pPr>
        <w:ind w:firstLine="284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lastRenderedPageBreak/>
        <w:t>Таблица 1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t>Рекомендуемый режим дня</w:t>
      </w:r>
    </w:p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C14F63" w:rsidRPr="00C14F63" w:rsidTr="00C23850">
        <w:tc>
          <w:tcPr>
            <w:tcW w:w="4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Режимные моменты</w:t>
            </w:r>
          </w:p>
        </w:tc>
        <w:tc>
          <w:tcPr>
            <w:tcW w:w="5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Время суток (час.)</w:t>
            </w:r>
          </w:p>
        </w:tc>
      </w:tr>
      <w:tr w:rsidR="00C14F63" w:rsidRPr="00C14F63" w:rsidTr="00C238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I - IV классы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V - XI классы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Подъем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Зарядка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7.05 - 7.20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7.05 - 7.20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7.20 - 7.40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7.20 - 7.40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Завтрак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7.40 - 8.00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7.40 - 8.00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Прогулка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8.00 - 8.30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8.00 - 8.30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Учебные занятия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8.30 - 12.30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8.30 - 11.20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Спортивный час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12.30 - 13.30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11.20 - 12.20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Учебные занятия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12.20 - 14.00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Обед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13.30 - 14.00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14.00 - 14.30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Дневной 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14.00 - 15.30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Полдник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15.30 - 16.00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14.30 - 16.00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Самоподготовка </w:t>
            </w:r>
            <w:r w:rsidRPr="00C14F63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&lt;**&gt;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16.00 - 17.00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16.00 - 18.00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17.00 - 19.00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18.00 - 19.30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Ужин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19.00 - 19.30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19.30 - 20.00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19.30 - 20.30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20.00 - 22.00</w:t>
            </w:r>
          </w:p>
        </w:tc>
      </w:tr>
      <w:tr w:rsidR="00C14F63" w:rsidRPr="00C14F63" w:rsidTr="00C23850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Сон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20.30 - 7.00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3850" w:rsidRPr="00C14F63" w:rsidRDefault="00C23850" w:rsidP="00C14F63">
            <w:pPr>
              <w:ind w:left="57" w:right="57" w:firstLine="284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22.00 - 7.00</w:t>
            </w:r>
          </w:p>
        </w:tc>
      </w:tr>
      <w:tr w:rsidR="00C14F63" w:rsidRPr="00C14F63" w:rsidTr="00C23850">
        <w:tc>
          <w:tcPr>
            <w:tcW w:w="9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Примечание: &lt;*&gt; второй завтрак проводится после второго урока;</w:t>
            </w:r>
          </w:p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C23850" w:rsidRPr="00C14F63" w:rsidRDefault="00C23850" w:rsidP="00C14F63">
            <w:pPr>
              <w:ind w:left="57" w:right="57" w:firstLine="284"/>
              <w:jc w:val="left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C14F63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C23850" w:rsidRPr="00C14F63" w:rsidRDefault="00C23850" w:rsidP="00C14F63">
      <w:pPr>
        <w:ind w:firstLine="284"/>
        <w:rPr>
          <w:rFonts w:ascii="Times New Roman" w:eastAsia="Times New Roman" w:hAnsi="Times New Roman" w:cs="Times New Roman"/>
          <w:szCs w:val="21"/>
          <w:lang w:eastAsia="ru-RU"/>
        </w:rPr>
      </w:pPr>
      <w:r w:rsidRPr="00C14F63">
        <w:rPr>
          <w:rFonts w:ascii="Times New Roman" w:eastAsia="Times New Roman" w:hAnsi="Times New Roman" w:cs="Times New Roman"/>
          <w:szCs w:val="21"/>
          <w:lang w:eastAsia="ru-RU"/>
        </w:rPr>
        <w:br/>
      </w:r>
    </w:p>
    <w:p w:rsidR="00C23850" w:rsidRPr="00C14F63" w:rsidRDefault="00C23850" w:rsidP="00C14F63">
      <w:pPr>
        <w:ind w:firstLine="284"/>
        <w:rPr>
          <w:rFonts w:ascii="Times New Roman" w:hAnsi="Times New Roman" w:cs="Times New Roman"/>
          <w:sz w:val="24"/>
        </w:rPr>
      </w:pPr>
    </w:p>
    <w:sectPr w:rsidR="00C23850" w:rsidRPr="00C14F63" w:rsidSect="00C14F6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850"/>
    <w:rsid w:val="0090663D"/>
    <w:rsid w:val="00C14F63"/>
    <w:rsid w:val="00C23850"/>
    <w:rsid w:val="00D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D"/>
  </w:style>
  <w:style w:type="paragraph" w:styleId="1">
    <w:name w:val="heading 1"/>
    <w:basedOn w:val="a"/>
    <w:link w:val="10"/>
    <w:uiPriority w:val="9"/>
    <w:qFormat/>
    <w:rsid w:val="00C23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23850"/>
  </w:style>
  <w:style w:type="character" w:customStyle="1" w:styleId="apple-converted-space">
    <w:name w:val="apple-converted-space"/>
    <w:basedOn w:val="a0"/>
    <w:rsid w:val="00C23850"/>
  </w:style>
  <w:style w:type="character" w:styleId="a3">
    <w:name w:val="Hyperlink"/>
    <w:basedOn w:val="a0"/>
    <w:uiPriority w:val="99"/>
    <w:semiHidden/>
    <w:unhideWhenUsed/>
    <w:rsid w:val="00C23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0CF4BF-3DDB-4052-95E7-6EBEE3D7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6935</Words>
  <Characters>39535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2017-10-24T04:30:00Z</cp:lastPrinted>
  <dcterms:created xsi:type="dcterms:W3CDTF">2015-08-24T06:18:00Z</dcterms:created>
  <dcterms:modified xsi:type="dcterms:W3CDTF">2017-10-24T04:32:00Z</dcterms:modified>
</cp:coreProperties>
</file>